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posOffset>-410845</wp:posOffset>
            </wp:positionH>
            <wp:positionV relativeFrom="paragraph">
              <wp:posOffset>-375285</wp:posOffset>
            </wp:positionV>
            <wp:extent cx="1094105" cy="10941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94105" cy="1094105"/>
                    </a:xfrm>
                    <a:prstGeom prst="rect">
                      <a:avLst/>
                    </a:prstGeom>
                  </pic:spPr>
                </pic:pic>
              </a:graphicData>
            </a:graphic>
          </wp:anchor>
        </w:drawing>
      </w:r>
    </w:p>
    <w:p>
      <w:pPr>
        <w:pStyle w:val="Normal"/>
        <w:bidi w:val="0"/>
        <w:jc w:val="left"/>
        <w:rPr/>
      </w:pPr>
      <w:r>
        <w:rPr/>
        <w:tab/>
        <w:tab/>
        <w:tab/>
        <w:tab/>
        <w:tab/>
        <w:tab/>
      </w:r>
      <w:r>
        <w:rPr>
          <w:sz w:val="22"/>
          <w:szCs w:val="22"/>
          <w:u w:val="single"/>
        </w:rPr>
        <w:t>Personne publique contractante :</w:t>
      </w:r>
    </w:p>
    <w:p>
      <w:pPr>
        <w:pStyle w:val="Normal"/>
        <w:bidi w:val="0"/>
        <w:jc w:val="left"/>
        <w:rPr>
          <w:sz w:val="22"/>
          <w:szCs w:val="22"/>
        </w:rPr>
      </w:pPr>
      <w:r>
        <w:rPr>
          <w:sz w:val="22"/>
          <w:szCs w:val="22"/>
        </w:rPr>
        <w:tab/>
        <w:tab/>
        <w:tab/>
        <w:tab/>
        <w:tab/>
        <w:tab/>
        <w:t xml:space="preserve">Communauté d’Agglomération Béziers </w:t>
        <w:tab/>
        <w:tab/>
        <w:tab/>
        <w:tab/>
        <w:tab/>
        <w:tab/>
        <w:tab/>
        <w:t xml:space="preserve">             Méditerranée</w:t>
      </w:r>
    </w:p>
    <w:p>
      <w:pPr>
        <w:pStyle w:val="Normal"/>
        <w:bidi w:val="0"/>
        <w:jc w:val="left"/>
        <w:rPr>
          <w:sz w:val="22"/>
          <w:szCs w:val="22"/>
        </w:rPr>
      </w:pPr>
      <w:r>
        <w:rPr>
          <w:sz w:val="22"/>
          <w:szCs w:val="22"/>
        </w:rPr>
        <w:tab/>
        <w:tab/>
        <w:tab/>
        <w:tab/>
        <w:tab/>
        <w:tab/>
        <w:t>39 Bld de Verdun</w:t>
      </w:r>
    </w:p>
    <w:p>
      <w:pPr>
        <w:pStyle w:val="Normal"/>
        <w:bidi w:val="0"/>
        <w:jc w:val="left"/>
        <w:rPr>
          <w:sz w:val="22"/>
          <w:szCs w:val="22"/>
        </w:rPr>
      </w:pPr>
      <w:r>
        <w:rPr>
          <w:sz w:val="22"/>
          <w:szCs w:val="22"/>
        </w:rPr>
        <w:tab/>
        <w:tab/>
        <w:tab/>
        <w:tab/>
        <w:tab/>
        <w:tab/>
        <w:tab/>
        <w:t>CS 30 567</w:t>
      </w:r>
      <w:r>
        <w:rPr>
          <w:sz w:val="22"/>
          <w:szCs w:val="22"/>
        </w:rPr>
        <w:tab/>
      </w:r>
    </w:p>
    <w:p>
      <w:pPr>
        <w:pStyle w:val="Normal"/>
        <w:bidi w:val="0"/>
        <w:jc w:val="left"/>
        <w:rPr>
          <w:sz w:val="22"/>
          <w:szCs w:val="22"/>
        </w:rPr>
      </w:pPr>
      <w:r>
        <w:rPr>
          <w:sz w:val="22"/>
          <w:szCs w:val="22"/>
        </w:rPr>
        <w:tab/>
        <w:tab/>
        <w:tab/>
        <w:tab/>
        <w:tab/>
        <w:tab/>
        <w:tab/>
        <w:t>34 5</w:t>
      </w:r>
      <w:r>
        <w:rPr>
          <w:sz w:val="22"/>
          <w:szCs w:val="22"/>
        </w:rPr>
        <w:t>36</w:t>
      </w:r>
      <w:r>
        <w:rPr>
          <w:sz w:val="22"/>
          <w:szCs w:val="22"/>
        </w:rPr>
        <w:t xml:space="preserve"> BEZIERS </w:t>
      </w:r>
      <w:r>
        <w:rPr>
          <w:sz w:val="22"/>
          <w:szCs w:val="22"/>
        </w:rPr>
        <w:t>Cedex</w:t>
      </w:r>
    </w:p>
    <w:p>
      <w:pPr>
        <w:pStyle w:val="Normal"/>
        <w:bidi w:val="0"/>
        <w:jc w:val="left"/>
        <w:rPr/>
      </w:pPr>
      <w:r>
        <w:rPr/>
      </w:r>
    </w:p>
    <w:p>
      <w:pPr>
        <w:pStyle w:val="Normal"/>
        <w:bidi w:val="0"/>
        <w:jc w:val="left"/>
        <w:rPr/>
      </w:pPr>
      <w:r>
        <w:rPr/>
      </w:r>
    </w:p>
    <w:p>
      <w:pPr>
        <w:pStyle w:val="Normal"/>
        <w:bidi w:val="0"/>
        <w:jc w:val="center"/>
        <w:rPr>
          <w:b/>
          <w:b/>
          <w:bCs/>
        </w:rPr>
      </w:pPr>
      <w:r>
        <w:rPr>
          <w:b/>
          <w:bCs/>
        </w:rPr>
        <w:t>Avis de pubicité préalable à l’attribution d’un titre d’occupation du domaine public à la suite d’une manifestation d’intérêt spontanée en vue de l’installation et de l’exploitation d’une centrale photovoltaïque.</w:t>
      </w:r>
    </w:p>
    <w:p>
      <w:pPr>
        <w:pStyle w:val="Normal"/>
        <w:bidi w:val="0"/>
        <w:jc w:val="left"/>
        <w:rPr/>
      </w:pPr>
      <w:r>
        <w:rPr/>
      </w:r>
    </w:p>
    <w:p>
      <w:pPr>
        <w:pStyle w:val="Normal"/>
        <w:bidi w:val="0"/>
        <w:jc w:val="both"/>
        <w:rPr>
          <w:sz w:val="22"/>
          <w:szCs w:val="22"/>
        </w:rPr>
      </w:pPr>
      <w:r>
        <w:rPr>
          <w:sz w:val="22"/>
          <w:szCs w:val="22"/>
        </w:rPr>
        <w:t>La Communauté d’Agglomération a été sollicitée par un opérateur économique pour l’occupation du domaine public, en vue de l’installation et l’exploitation en vente totale d’une centrale solaire photovoltaïque au sol sur le site de l’ISDND de Saint Jean de Libron à Béziers.</w:t>
      </w:r>
    </w:p>
    <w:p>
      <w:pPr>
        <w:pStyle w:val="Normal"/>
        <w:bidi w:val="0"/>
        <w:jc w:val="both"/>
        <w:rPr>
          <w:sz w:val="22"/>
          <w:szCs w:val="22"/>
        </w:rPr>
      </w:pPr>
      <w:r>
        <w:rPr>
          <w:sz w:val="22"/>
          <w:szCs w:val="22"/>
        </w:rPr>
        <w:t xml:space="preserve">Le présent avis de publicité a pour objet de porter </w:t>
      </w:r>
      <w:r>
        <w:rPr>
          <w:sz w:val="22"/>
          <w:szCs w:val="22"/>
        </w:rPr>
        <w:t xml:space="preserve">à </w:t>
      </w:r>
      <w:r>
        <w:rPr>
          <w:sz w:val="22"/>
          <w:szCs w:val="22"/>
        </w:rPr>
        <w:t>connaissance du public cette manifestation d’intérêt spontanée et de permettre à tous tiers, souhaitant également bénéficier de la même mise à disposition du domaine public en vue de la réalisation d’un projet similaire de se manifester, conformément aux dispositions de l’article L.2122-4 du Code Général de la Propriété des Personnes Publiques.</w:t>
      </w:r>
    </w:p>
    <w:p>
      <w:pPr>
        <w:pStyle w:val="Normal"/>
        <w:bidi w:val="0"/>
        <w:jc w:val="both"/>
        <w:rPr/>
      </w:pPr>
      <w:r>
        <w:rPr>
          <w:sz w:val="22"/>
          <w:szCs w:val="22"/>
        </w:rPr>
        <w:t xml:space="preserve">Les tiers souhaitant se manifester devront remettre auprès de la Communauté d’Agglomération leur propositions selon les conditions définies sur l’avis complet disponible sur demande à l’adresse </w:t>
      </w:r>
      <w:r>
        <w:rPr>
          <w:rStyle w:val="LienInternet"/>
          <w:sz w:val="22"/>
          <w:szCs w:val="22"/>
        </w:rPr>
        <w:t>energieclimat@beziers-mediterranee.fr</w:t>
      </w:r>
    </w:p>
    <w:p>
      <w:pPr>
        <w:pStyle w:val="Normal"/>
        <w:bidi w:val="0"/>
        <w:jc w:val="both"/>
        <w:rPr>
          <w:sz w:val="22"/>
          <w:szCs w:val="22"/>
        </w:rPr>
      </w:pPr>
      <w:r>
        <w:rPr>
          <w:sz w:val="22"/>
          <w:szCs w:val="22"/>
        </w:rPr>
      </w:r>
    </w:p>
    <w:p>
      <w:pPr>
        <w:pStyle w:val="Normal"/>
        <w:bidi w:val="0"/>
        <w:jc w:val="both"/>
        <w:rPr>
          <w:sz w:val="22"/>
          <w:szCs w:val="22"/>
        </w:rPr>
      </w:pPr>
      <w:r>
        <w:rPr>
          <w:sz w:val="22"/>
          <w:szCs w:val="22"/>
        </w:rPr>
        <w:t>Si aucune proposition supplémentaire n’est remise avant la date limite de réception des propositions mentionnée ci-dessous, la Communauté d’Agglomération attribuera à cet opérateur économique une convention d’occupation temporaire selon les principales caractéristiques précisées ci-dessous.</w:t>
      </w:r>
    </w:p>
    <w:p>
      <w:pPr>
        <w:pStyle w:val="Normal"/>
        <w:bidi w:val="0"/>
        <w:jc w:val="both"/>
        <w:rPr>
          <w:sz w:val="22"/>
          <w:szCs w:val="22"/>
        </w:rPr>
      </w:pPr>
      <w:r>
        <w:rPr>
          <w:sz w:val="22"/>
          <w:szCs w:val="22"/>
        </w:rPr>
        <w:t>Si un candidat supplémentaire se manifeste et remet une proposition complète avant la date limite de réception, la Communauté d’Agglomération lancera en suivant une consultation.</w:t>
      </w:r>
    </w:p>
    <w:p>
      <w:pPr>
        <w:pStyle w:val="Normal"/>
        <w:bidi w:val="0"/>
        <w:jc w:val="left"/>
        <w:rPr/>
      </w:pPr>
      <w:r>
        <w:rPr/>
      </w:r>
    </w:p>
    <w:p>
      <w:pPr>
        <w:pStyle w:val="Normal"/>
        <w:bidi w:val="0"/>
        <w:jc w:val="left"/>
        <w:rPr/>
      </w:pPr>
      <w:r>
        <w:rPr/>
        <w:t xml:space="preserve"> </w:t>
      </w:r>
    </w:p>
    <w:tbl>
      <w:tblPr>
        <w:tblW w:w="9645" w:type="dxa"/>
        <w:jc w:val="left"/>
        <w:tblInd w:w="0" w:type="dxa"/>
        <w:tblLayout w:type="fixed"/>
        <w:tblCellMar>
          <w:top w:w="0" w:type="dxa"/>
          <w:left w:w="0" w:type="dxa"/>
          <w:bottom w:w="0" w:type="dxa"/>
          <w:right w:w="0" w:type="dxa"/>
        </w:tblCellMar>
      </w:tblPr>
      <w:tblGrid>
        <w:gridCol w:w="9585"/>
        <w:gridCol w:w="59"/>
      </w:tblGrid>
      <w:tr>
        <w:trPr/>
        <w:tc>
          <w:tcPr>
            <w:tcW w:w="9585" w:type="dxa"/>
            <w:tcBorders/>
          </w:tcPr>
          <w:tbl>
            <w:tblPr>
              <w:tblW w:w="9585" w:type="dxa"/>
              <w:jc w:val="left"/>
              <w:tblInd w:w="0" w:type="dxa"/>
              <w:tblLayout w:type="fixed"/>
              <w:tblCellMar>
                <w:top w:w="28" w:type="dxa"/>
                <w:left w:w="28" w:type="dxa"/>
                <w:bottom w:w="28" w:type="dxa"/>
                <w:right w:w="28" w:type="dxa"/>
              </w:tblCellMar>
            </w:tblPr>
            <w:tblGrid>
              <w:gridCol w:w="2408"/>
              <w:gridCol w:w="7176"/>
            </w:tblGrid>
            <w:tr>
              <w:trPr/>
              <w:tc>
                <w:tcPr>
                  <w:tcW w:w="2408" w:type="dxa"/>
                  <w:tcBorders>
                    <w:top w:val="single" w:sz="2" w:space="0" w:color="000000"/>
                    <w:left w:val="single" w:sz="2" w:space="0" w:color="000000"/>
                    <w:bottom w:val="single" w:sz="2" w:space="0" w:color="000000"/>
                  </w:tcBorders>
                </w:tcPr>
                <w:p>
                  <w:pPr>
                    <w:pStyle w:val="Contenudetableau"/>
                    <w:widowControl w:val="false"/>
                    <w:bidi w:val="0"/>
                    <w:jc w:val="left"/>
                    <w:rPr>
                      <w:sz w:val="21"/>
                      <w:szCs w:val="21"/>
                      <w:shd w:fill="auto" w:val="clear"/>
                    </w:rPr>
                  </w:pPr>
                  <w:r>
                    <w:rPr>
                      <w:sz w:val="21"/>
                      <w:szCs w:val="21"/>
                      <w:shd w:fill="auto" w:val="clear"/>
                    </w:rPr>
                    <w:t xml:space="preserve">Avis publié le </w:t>
                  </w:r>
                </w:p>
              </w:tc>
              <w:tc>
                <w:tcPr>
                  <w:tcW w:w="7176" w:type="dxa"/>
                  <w:tcBorders>
                    <w:top w:val="single" w:sz="2" w:space="0" w:color="000000"/>
                    <w:left w:val="single" w:sz="2" w:space="0" w:color="000000"/>
                    <w:bottom w:val="single" w:sz="2" w:space="0" w:color="000000"/>
                    <w:right w:val="single" w:sz="2" w:space="0" w:color="000000"/>
                  </w:tcBorders>
                </w:tcPr>
                <w:p>
                  <w:pPr>
                    <w:pStyle w:val="Contenudetableau"/>
                    <w:widowControl w:val="false"/>
                    <w:bidi w:val="0"/>
                    <w:jc w:val="left"/>
                    <w:rPr>
                      <w:sz w:val="21"/>
                      <w:szCs w:val="21"/>
                      <w:shd w:fill="auto" w:val="clear"/>
                    </w:rPr>
                  </w:pPr>
                  <w:r>
                    <w:rPr>
                      <w:sz w:val="21"/>
                      <w:szCs w:val="21"/>
                      <w:shd w:fill="auto" w:val="clear"/>
                    </w:rPr>
                    <w:t xml:space="preserve"> </w:t>
                  </w:r>
                  <w:r>
                    <w:rPr>
                      <w:sz w:val="21"/>
                      <w:szCs w:val="21"/>
                      <w:shd w:fill="auto" w:val="clear"/>
                    </w:rPr>
                    <w:t xml:space="preserve">18 </w:t>
                  </w:r>
                  <w:r>
                    <w:rPr>
                      <w:sz w:val="21"/>
                      <w:szCs w:val="21"/>
                      <w:shd w:fill="auto" w:val="clear"/>
                    </w:rPr>
                    <w:t>Mars 2022</w:t>
                  </w:r>
                </w:p>
              </w:tc>
            </w:tr>
            <w:tr>
              <w:trPr/>
              <w:tc>
                <w:tcPr>
                  <w:tcW w:w="2408" w:type="dxa"/>
                  <w:tcBorders>
                    <w:left w:val="single" w:sz="2" w:space="0" w:color="000000"/>
                    <w:bottom w:val="single" w:sz="2" w:space="0" w:color="000000"/>
                  </w:tcBorders>
                </w:tcPr>
                <w:p>
                  <w:pPr>
                    <w:pStyle w:val="Contenudetableau"/>
                    <w:widowControl w:val="false"/>
                    <w:bidi w:val="0"/>
                    <w:jc w:val="left"/>
                    <w:rPr>
                      <w:sz w:val="21"/>
                      <w:szCs w:val="21"/>
                      <w:shd w:fill="auto" w:val="clear"/>
                    </w:rPr>
                  </w:pPr>
                  <w:r>
                    <w:rPr>
                      <w:sz w:val="21"/>
                      <w:szCs w:val="21"/>
                      <w:shd w:fill="auto" w:val="clear"/>
                    </w:rPr>
                    <w:t>Durée de la publicité</w:t>
                  </w:r>
                </w:p>
              </w:tc>
              <w:tc>
                <w:tcPr>
                  <w:tcW w:w="7176" w:type="dxa"/>
                  <w:tcBorders>
                    <w:left w:val="single" w:sz="2" w:space="0" w:color="000000"/>
                    <w:bottom w:val="single" w:sz="2" w:space="0" w:color="000000"/>
                    <w:right w:val="single" w:sz="2" w:space="0" w:color="000000"/>
                  </w:tcBorders>
                </w:tcPr>
                <w:p>
                  <w:pPr>
                    <w:pStyle w:val="Contenudetableau"/>
                    <w:widowControl w:val="false"/>
                    <w:bidi w:val="0"/>
                    <w:jc w:val="left"/>
                    <w:rPr>
                      <w:sz w:val="21"/>
                      <w:szCs w:val="21"/>
                      <w:shd w:fill="auto" w:val="clear"/>
                    </w:rPr>
                  </w:pPr>
                  <w:r>
                    <w:rPr>
                      <w:sz w:val="21"/>
                      <w:szCs w:val="21"/>
                      <w:shd w:fill="auto" w:val="clear"/>
                    </w:rPr>
                    <w:t xml:space="preserve">4 semaines soit jusqu’au </w:t>
                  </w:r>
                  <w:r>
                    <w:rPr>
                      <w:sz w:val="21"/>
                      <w:szCs w:val="21"/>
                      <w:shd w:fill="auto" w:val="clear"/>
                    </w:rPr>
                    <w:t>15 avril 2022</w:t>
                  </w:r>
                </w:p>
              </w:tc>
            </w:tr>
            <w:tr>
              <w:trPr/>
              <w:tc>
                <w:tcPr>
                  <w:tcW w:w="2408" w:type="dxa"/>
                  <w:tcBorders>
                    <w:left w:val="single" w:sz="2" w:space="0" w:color="000000"/>
                    <w:bottom w:val="single" w:sz="2" w:space="0" w:color="000000"/>
                  </w:tcBorders>
                </w:tcPr>
                <w:p>
                  <w:pPr>
                    <w:pStyle w:val="Contenudetableau"/>
                    <w:widowControl w:val="false"/>
                    <w:bidi w:val="0"/>
                    <w:jc w:val="left"/>
                    <w:rPr>
                      <w:sz w:val="21"/>
                      <w:szCs w:val="21"/>
                      <w:shd w:fill="auto" w:val="clear"/>
                    </w:rPr>
                  </w:pPr>
                  <w:r>
                    <w:rPr>
                      <w:sz w:val="21"/>
                      <w:szCs w:val="21"/>
                      <w:shd w:fill="auto" w:val="clear"/>
                    </w:rPr>
                    <w:t>Date et remise des propositions</w:t>
                  </w:r>
                </w:p>
              </w:tc>
              <w:tc>
                <w:tcPr>
                  <w:tcW w:w="7176" w:type="dxa"/>
                  <w:tcBorders>
                    <w:left w:val="single" w:sz="2" w:space="0" w:color="000000"/>
                    <w:bottom w:val="single" w:sz="2" w:space="0" w:color="000000"/>
                    <w:right w:val="single" w:sz="2" w:space="0" w:color="000000"/>
                  </w:tcBorders>
                </w:tcPr>
                <w:p>
                  <w:pPr>
                    <w:pStyle w:val="Contenudetableau"/>
                    <w:widowControl w:val="false"/>
                    <w:bidi w:val="0"/>
                    <w:jc w:val="left"/>
                    <w:rPr>
                      <w:sz w:val="21"/>
                      <w:szCs w:val="21"/>
                      <w:shd w:fill="auto" w:val="clear"/>
                    </w:rPr>
                  </w:pPr>
                  <w:r>
                    <w:rPr>
                      <w:sz w:val="21"/>
                      <w:szCs w:val="21"/>
                      <w:shd w:fill="auto" w:val="clear"/>
                    </w:rPr>
                    <w:t xml:space="preserve"> </w:t>
                  </w:r>
                  <w:r>
                    <w:rPr>
                      <w:sz w:val="21"/>
                      <w:szCs w:val="21"/>
                      <w:shd w:fill="auto" w:val="clear"/>
                    </w:rPr>
                    <w:t xml:space="preserve">15 </w:t>
                  </w:r>
                  <w:r>
                    <w:rPr>
                      <w:sz w:val="21"/>
                      <w:szCs w:val="21"/>
                      <w:shd w:fill="auto" w:val="clear"/>
                    </w:rPr>
                    <w:t>Avril 2022 par voie postale (Service Stratégie Améngament et Environnement ou par voie électronique (energieclimat@beziers-mediterranee.fr)</w:t>
                  </w:r>
                </w:p>
              </w:tc>
            </w:tr>
            <w:tr>
              <w:trPr>
                <w:trHeight w:val="226" w:hRule="atLeast"/>
              </w:trPr>
              <w:tc>
                <w:tcPr>
                  <w:tcW w:w="9584" w:type="dxa"/>
                  <w:gridSpan w:val="2"/>
                  <w:tcBorders>
                    <w:left w:val="single" w:sz="2" w:space="0" w:color="000000"/>
                    <w:bottom w:val="single" w:sz="2" w:space="0" w:color="000000"/>
                    <w:right w:val="single" w:sz="2" w:space="0" w:color="000000"/>
                  </w:tcBorders>
                  <w:shd w:fill="DDDDDD" w:val="clear"/>
                </w:tcPr>
                <w:p>
                  <w:pPr>
                    <w:pStyle w:val="Contenudetableau"/>
                    <w:widowControl w:val="false"/>
                    <w:bidi w:val="0"/>
                    <w:jc w:val="center"/>
                    <w:rPr>
                      <w:sz w:val="21"/>
                      <w:szCs w:val="21"/>
                    </w:rPr>
                  </w:pPr>
                  <w:r>
                    <w:rPr>
                      <w:sz w:val="21"/>
                      <w:szCs w:val="21"/>
                    </w:rPr>
                    <w:t>Principales caractéristiques du titre d’occupation envisagé</w:t>
                  </w:r>
                </w:p>
              </w:tc>
            </w:tr>
            <w:tr>
              <w:trPr/>
              <w:tc>
                <w:tcPr>
                  <w:tcW w:w="2408" w:type="dxa"/>
                  <w:tcBorders>
                    <w:left w:val="single" w:sz="2" w:space="0" w:color="000000"/>
                    <w:bottom w:val="single" w:sz="2" w:space="0" w:color="000000"/>
                  </w:tcBorders>
                </w:tcPr>
                <w:p>
                  <w:pPr>
                    <w:pStyle w:val="Contenudetableau"/>
                    <w:widowControl w:val="false"/>
                    <w:bidi w:val="0"/>
                    <w:jc w:val="left"/>
                    <w:rPr>
                      <w:sz w:val="21"/>
                      <w:szCs w:val="21"/>
                    </w:rPr>
                  </w:pPr>
                  <w:r>
                    <w:rPr>
                      <w:sz w:val="21"/>
                      <w:szCs w:val="21"/>
                    </w:rPr>
                    <w:t>Typologie de titre envisagé</w:t>
                  </w:r>
                </w:p>
              </w:tc>
              <w:tc>
                <w:tcPr>
                  <w:tcW w:w="7176" w:type="dxa"/>
                  <w:tcBorders>
                    <w:left w:val="single" w:sz="2" w:space="0" w:color="000000"/>
                    <w:bottom w:val="single" w:sz="2" w:space="0" w:color="000000"/>
                    <w:right w:val="single" w:sz="2" w:space="0" w:color="000000"/>
                  </w:tcBorders>
                </w:tcPr>
                <w:p>
                  <w:pPr>
                    <w:pStyle w:val="Contenudetableau"/>
                    <w:widowControl w:val="false"/>
                    <w:bidi w:val="0"/>
                    <w:jc w:val="left"/>
                    <w:rPr>
                      <w:sz w:val="21"/>
                      <w:szCs w:val="21"/>
                    </w:rPr>
                  </w:pPr>
                  <w:r>
                    <w:rPr>
                      <w:sz w:val="21"/>
                      <w:szCs w:val="21"/>
                    </w:rPr>
                    <w:t>Convention d’occupation temporaire de domaine, en application de l’aticle 2122-4 du Code Général de la Propriété des Personnes Publiques</w:t>
                  </w:r>
                </w:p>
              </w:tc>
            </w:tr>
            <w:tr>
              <w:trPr/>
              <w:tc>
                <w:tcPr>
                  <w:tcW w:w="2408" w:type="dxa"/>
                  <w:tcBorders>
                    <w:left w:val="single" w:sz="2" w:space="0" w:color="000000"/>
                    <w:bottom w:val="single" w:sz="2" w:space="0" w:color="000000"/>
                  </w:tcBorders>
                </w:tcPr>
                <w:p>
                  <w:pPr>
                    <w:pStyle w:val="Contenudetableau"/>
                    <w:widowControl w:val="false"/>
                    <w:bidi w:val="0"/>
                    <w:jc w:val="left"/>
                    <w:rPr>
                      <w:sz w:val="21"/>
                      <w:szCs w:val="21"/>
                    </w:rPr>
                  </w:pPr>
                  <w:r>
                    <w:rPr>
                      <w:sz w:val="21"/>
                      <w:szCs w:val="21"/>
                    </w:rPr>
                    <w:t>Parcelles cadastrales concernées</w:t>
                  </w:r>
                </w:p>
              </w:tc>
              <w:tc>
                <w:tcPr>
                  <w:tcW w:w="7176" w:type="dxa"/>
                  <w:tcBorders>
                    <w:left w:val="single" w:sz="2" w:space="0" w:color="000000"/>
                    <w:bottom w:val="single" w:sz="2" w:space="0" w:color="000000"/>
                    <w:right w:val="single" w:sz="2" w:space="0" w:color="000000"/>
                  </w:tcBorders>
                </w:tcPr>
                <w:p>
                  <w:pPr>
                    <w:pStyle w:val="Contenudetableau"/>
                    <w:widowControl w:val="false"/>
                    <w:bidi w:val="0"/>
                    <w:jc w:val="left"/>
                    <w:rPr>
                      <w:sz w:val="21"/>
                      <w:szCs w:val="21"/>
                    </w:rPr>
                  </w:pPr>
                  <w:r>
                    <w:rPr>
                      <w:sz w:val="21"/>
                      <w:szCs w:val="21"/>
                    </w:rPr>
                    <w:t>DW 142 – DW 42 – DW 130 – DW 124 – DW 145 (zone Ncet du PLU de la commune de Béziers)</w:t>
                  </w:r>
                </w:p>
              </w:tc>
            </w:tr>
            <w:tr>
              <w:trPr/>
              <w:tc>
                <w:tcPr>
                  <w:tcW w:w="2408" w:type="dxa"/>
                  <w:tcBorders>
                    <w:left w:val="single" w:sz="2" w:space="0" w:color="000000"/>
                    <w:bottom w:val="single" w:sz="2" w:space="0" w:color="000000"/>
                  </w:tcBorders>
                </w:tcPr>
                <w:p>
                  <w:pPr>
                    <w:pStyle w:val="Contenudetableau"/>
                    <w:widowControl w:val="false"/>
                    <w:bidi w:val="0"/>
                    <w:jc w:val="left"/>
                    <w:rPr>
                      <w:sz w:val="21"/>
                      <w:szCs w:val="21"/>
                    </w:rPr>
                  </w:pPr>
                  <w:r>
                    <w:rPr>
                      <w:sz w:val="21"/>
                      <w:szCs w:val="21"/>
                    </w:rPr>
                    <w:t>Durée envisagée</w:t>
                  </w:r>
                </w:p>
              </w:tc>
              <w:tc>
                <w:tcPr>
                  <w:tcW w:w="7176" w:type="dxa"/>
                  <w:tcBorders>
                    <w:left w:val="single" w:sz="2" w:space="0" w:color="000000"/>
                    <w:bottom w:val="single" w:sz="2" w:space="0" w:color="000000"/>
                    <w:right w:val="single" w:sz="2" w:space="0" w:color="000000"/>
                  </w:tcBorders>
                </w:tcPr>
                <w:p>
                  <w:pPr>
                    <w:pStyle w:val="Contenudetableau"/>
                    <w:widowControl w:val="false"/>
                    <w:bidi w:val="0"/>
                    <w:jc w:val="left"/>
                    <w:rPr>
                      <w:sz w:val="21"/>
                      <w:szCs w:val="21"/>
                    </w:rPr>
                  </w:pPr>
                  <w:r>
                    <w:rPr>
                      <w:sz w:val="21"/>
                      <w:szCs w:val="21"/>
                    </w:rPr>
                    <w:t>La convention sera conclue à compter de sa signature par les parties pour une durée de 30 ans.</w:t>
                  </w:r>
                </w:p>
              </w:tc>
            </w:tr>
            <w:tr>
              <w:trPr/>
              <w:tc>
                <w:tcPr>
                  <w:tcW w:w="2408" w:type="dxa"/>
                  <w:tcBorders>
                    <w:left w:val="single" w:sz="2" w:space="0" w:color="000000"/>
                    <w:bottom w:val="single" w:sz="2" w:space="0" w:color="000000"/>
                  </w:tcBorders>
                </w:tcPr>
                <w:p>
                  <w:pPr>
                    <w:pStyle w:val="Contenudetableau"/>
                    <w:widowControl w:val="false"/>
                    <w:bidi w:val="0"/>
                    <w:jc w:val="left"/>
                    <w:rPr>
                      <w:sz w:val="21"/>
                      <w:szCs w:val="21"/>
                    </w:rPr>
                  </w:pPr>
                  <w:r>
                    <w:rPr>
                      <w:sz w:val="21"/>
                      <w:szCs w:val="21"/>
                    </w:rPr>
                    <w:t>Investissement prévu par le bénéficiaire</w:t>
                  </w:r>
                </w:p>
              </w:tc>
              <w:tc>
                <w:tcPr>
                  <w:tcW w:w="7176" w:type="dxa"/>
                  <w:tcBorders>
                    <w:left w:val="single" w:sz="2" w:space="0" w:color="000000"/>
                    <w:bottom w:val="single" w:sz="2" w:space="0" w:color="000000"/>
                    <w:right w:val="single" w:sz="2" w:space="0" w:color="000000"/>
                  </w:tcBorders>
                </w:tcPr>
                <w:p>
                  <w:pPr>
                    <w:pStyle w:val="Contenudetableau"/>
                    <w:widowControl w:val="false"/>
                    <w:bidi w:val="0"/>
                    <w:jc w:val="left"/>
                    <w:rPr>
                      <w:sz w:val="21"/>
                      <w:szCs w:val="21"/>
                    </w:rPr>
                  </w:pPr>
                  <w:r>
                    <w:rPr>
                      <w:sz w:val="21"/>
                      <w:szCs w:val="21"/>
                    </w:rPr>
                    <w:t>Centrale photovoltaïque au sol d’une puissance de 5 Mwc environ (casiers n°1 à 4 du CET Saint Jean de Libron).</w:t>
                  </w:r>
                </w:p>
                <w:p>
                  <w:pPr>
                    <w:pStyle w:val="Contenudetableau"/>
                    <w:widowControl w:val="false"/>
                    <w:bidi w:val="0"/>
                    <w:jc w:val="left"/>
                    <w:rPr>
                      <w:sz w:val="21"/>
                      <w:szCs w:val="21"/>
                    </w:rPr>
                  </w:pPr>
                  <w:r>
                    <w:rPr>
                      <w:sz w:val="21"/>
                      <w:szCs w:val="21"/>
                    </w:rPr>
                    <w:t>Les études, les travaux seront à la charge du bénéficiaire.</w:t>
                  </w:r>
                </w:p>
                <w:p>
                  <w:pPr>
                    <w:pStyle w:val="Contenudetableau"/>
                    <w:widowControl w:val="false"/>
                    <w:bidi w:val="0"/>
                    <w:jc w:val="left"/>
                    <w:rPr>
                      <w:sz w:val="21"/>
                      <w:szCs w:val="21"/>
                    </w:rPr>
                  </w:pPr>
                  <w:r>
                    <w:rPr>
                      <w:sz w:val="21"/>
                      <w:szCs w:val="21"/>
                    </w:rPr>
                    <w:t>À l’échéance de la convention, l’installation pourra revenir à la personne pubique contractante ou être démontée (panneaux recyclés).</w:t>
                  </w:r>
                </w:p>
              </w:tc>
            </w:tr>
            <w:tr>
              <w:trPr/>
              <w:tc>
                <w:tcPr>
                  <w:tcW w:w="2408" w:type="dxa"/>
                  <w:tcBorders>
                    <w:left w:val="single" w:sz="2" w:space="0" w:color="000000"/>
                    <w:bottom w:val="single" w:sz="2" w:space="0" w:color="000000"/>
                  </w:tcBorders>
                </w:tcPr>
                <w:p>
                  <w:pPr>
                    <w:pStyle w:val="Contenudetableau"/>
                    <w:widowControl w:val="false"/>
                    <w:bidi w:val="0"/>
                    <w:jc w:val="left"/>
                    <w:rPr>
                      <w:sz w:val="21"/>
                      <w:szCs w:val="21"/>
                    </w:rPr>
                  </w:pPr>
                  <w:r>
                    <w:rPr>
                      <w:sz w:val="21"/>
                      <w:szCs w:val="21"/>
                    </w:rPr>
                    <w:t>Activité économique envisagée par le bénéficiaire</w:t>
                  </w:r>
                </w:p>
              </w:tc>
              <w:tc>
                <w:tcPr>
                  <w:tcW w:w="7176" w:type="dxa"/>
                  <w:tcBorders>
                    <w:left w:val="single" w:sz="2" w:space="0" w:color="000000"/>
                    <w:bottom w:val="single" w:sz="2" w:space="0" w:color="000000"/>
                    <w:right w:val="single" w:sz="2" w:space="0" w:color="000000"/>
                  </w:tcBorders>
                </w:tcPr>
                <w:p>
                  <w:pPr>
                    <w:pStyle w:val="Contenudetableau"/>
                    <w:widowControl w:val="false"/>
                    <w:bidi w:val="0"/>
                    <w:jc w:val="left"/>
                    <w:rPr>
                      <w:sz w:val="21"/>
                      <w:szCs w:val="21"/>
                    </w:rPr>
                  </w:pPr>
                  <w:r>
                    <w:rPr>
                      <w:sz w:val="21"/>
                      <w:szCs w:val="21"/>
                    </w:rPr>
                    <w:t>Exploitation en vente totale.</w:t>
                  </w:r>
                </w:p>
                <w:p>
                  <w:pPr>
                    <w:pStyle w:val="Contenudetableau"/>
                    <w:widowControl w:val="false"/>
                    <w:bidi w:val="0"/>
                    <w:jc w:val="left"/>
                    <w:rPr>
                      <w:sz w:val="21"/>
                      <w:szCs w:val="21"/>
                    </w:rPr>
                  </w:pPr>
                  <w:r>
                    <w:rPr>
                      <w:sz w:val="21"/>
                      <w:szCs w:val="21"/>
                    </w:rPr>
                    <w:t>Cette occupation du domaine public sera consentie moyennant le paiement d’une redevance annuelle dont le montant et les modalités de paiements seront fixées conformément aux dispositions des articles L.2125-1 et suivants du Code Général de la Propriété des Personnes Publiques</w:t>
                  </w:r>
                </w:p>
              </w:tc>
            </w:tr>
          </w:tbl>
          <w:p>
            <w:pPr>
              <w:pStyle w:val="Contenudetableau"/>
              <w:widowControl w:val="false"/>
              <w:suppressLineNumbers/>
              <w:bidi w:val="0"/>
              <w:jc w:val="left"/>
              <w:rPr/>
            </w:pPr>
            <w:r>
              <w:rPr/>
            </w:r>
          </w:p>
        </w:tc>
        <w:tc>
          <w:tcPr>
            <w:tcW w:w="59" w:type="dxa"/>
            <w:tcBorders/>
          </w:tcPr>
          <w:p>
            <w:pPr>
              <w:pStyle w:val="Contenudetableau"/>
              <w:widowControl w:val="false"/>
              <w:suppressLineNumbers/>
              <w:bidi w:val="0"/>
              <w:jc w:val="left"/>
              <w:rPr/>
            </w:pPr>
            <w:r>
              <w:rPr/>
            </w:r>
          </w:p>
        </w:tc>
      </w:tr>
      <w:tr>
        <w:trPr/>
        <w:tc>
          <w:tcPr>
            <w:tcW w:w="9585" w:type="dxa"/>
            <w:tcBorders/>
          </w:tcPr>
          <w:p>
            <w:pPr>
              <w:pStyle w:val="Contenudetableau"/>
              <w:widowControl w:val="false"/>
              <w:suppressLineNumbers/>
              <w:bidi w:val="0"/>
              <w:jc w:val="left"/>
              <w:rPr/>
            </w:pPr>
            <w:r>
              <w:rPr/>
            </w:r>
          </w:p>
        </w:tc>
        <w:tc>
          <w:tcPr>
            <w:tcW w:w="59" w:type="dxa"/>
            <w:tcBorders/>
          </w:tcPr>
          <w:p>
            <w:pPr>
              <w:pStyle w:val="Contenudetableau"/>
              <w:widowControl w:val="false"/>
              <w:suppressLineNumbers/>
              <w:bidi w:val="0"/>
              <w:jc w:val="left"/>
              <w:rPr/>
            </w:pPr>
            <w:r>
              <w:rPr/>
            </w:r>
          </w:p>
        </w:tc>
      </w:tr>
    </w:tbl>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ntenudetableau">
    <w:name w:val="Contenu de tableau"/>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89</TotalTime>
  <Application>LibreOffice/7.1.5.2$Windows_x86 LibreOffice_project/85f04e9f809797b8199d13c421bd8a2b025d52b5</Application>
  <AppVersion>15.0000</AppVersion>
  <Pages>1</Pages>
  <Words>450</Words>
  <Characters>2688</Characters>
  <CharactersWithSpaces>3168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2022-03-14T10:18:32Z</dcterms:created>
  <dc:creator/>
  <dc:description/>
  <dc:language>fr-FR</dc:language>
  <cp:lastModifiedBy/>
  <cp:lastPrinted>2022-03-14T13:37:02Z</cp:lastPrinted>
  <dcterms:modified xsi:type="dcterms:W3CDTF">2022-03-15T09:02:46Z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